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5AF0D" w14:textId="67B65468" w:rsidR="00F01B3D" w:rsidRPr="00F01B3D" w:rsidRDefault="00F01B3D" w:rsidP="00F01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01B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”Аймақтық  экономика және басқару” пәні 202</w:t>
      </w:r>
      <w:r w:rsidR="00FE06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F01B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="00FE06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F01B3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семестрі</w:t>
      </w:r>
    </w:p>
    <w:p w14:paraId="43C95D3D" w14:textId="4FED4A16" w:rsidR="00F01B3D" w:rsidRPr="00F01B3D" w:rsidRDefault="006F2BFD" w:rsidP="00F01B3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6</w:t>
      </w:r>
      <w:r w:rsidR="00F01B3D" w:rsidRPr="00F01B3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4</w:t>
      </w:r>
      <w:r w:rsidR="00F01B3D" w:rsidRPr="00F01B3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</w:t>
      </w:r>
      <w:r w:rsidR="00F01B3D" w:rsidRPr="00F01B3D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-Мемлекеттік және жергілікті басқару мамандығы</w:t>
      </w:r>
    </w:p>
    <w:p w14:paraId="1F0AD876" w14:textId="6DB56115" w:rsidR="00F01B3D" w:rsidRPr="00F01B3D" w:rsidRDefault="00F01B3D" w:rsidP="00F01B3D">
      <w:pPr>
        <w:tabs>
          <w:tab w:val="left" w:pos="1380"/>
        </w:tabs>
        <w:spacing w:line="256" w:lineRule="auto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F01B3D">
        <w:rPr>
          <w:rFonts w:ascii="Times New Roman" w:hAnsi="Times New Roman" w:cs="Times New Roman"/>
          <w:sz w:val="40"/>
          <w:szCs w:val="40"/>
          <w:lang w:val="kk-KZ"/>
        </w:rPr>
        <w:t>ТАПСЫРМА СОӨЖ-</w:t>
      </w:r>
      <w:r>
        <w:rPr>
          <w:rFonts w:ascii="Times New Roman" w:hAnsi="Times New Roman" w:cs="Times New Roman"/>
          <w:sz w:val="40"/>
          <w:szCs w:val="40"/>
          <w:lang w:val="kk-KZ"/>
        </w:rPr>
        <w:t>2</w:t>
      </w:r>
    </w:p>
    <w:p w14:paraId="7E1EDE89" w14:textId="3F3B2663" w:rsidR="00F01B3D" w:rsidRPr="00F01B3D" w:rsidRDefault="00F01B3D" w:rsidP="00F01B3D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F01B3D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Аймақтық экономика және басқару</w:t>
      </w:r>
      <w:r w:rsidRPr="00F01B3D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F01B3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  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СОӨЖ-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2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014C2C67" w14:textId="77777777" w:rsidR="00F01B3D" w:rsidRPr="00F01B3D" w:rsidRDefault="00F01B3D" w:rsidP="00F01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054"/>
        <w:gridCol w:w="2125"/>
        <w:gridCol w:w="2631"/>
      </w:tblGrid>
      <w:tr w:rsidR="00F01B3D" w:rsidRPr="00F01B3D" w14:paraId="7FD6DB7F" w14:textId="77777777" w:rsidTr="00933E18">
        <w:tc>
          <w:tcPr>
            <w:tcW w:w="535" w:type="dxa"/>
          </w:tcPr>
          <w:p w14:paraId="62501DFE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369B8A6B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0819F474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66C3C7DA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F01B3D" w:rsidRPr="00F01B3D" w14:paraId="50CC8C36" w14:textId="77777777" w:rsidTr="00933E18">
        <w:tc>
          <w:tcPr>
            <w:tcW w:w="535" w:type="dxa"/>
          </w:tcPr>
          <w:p w14:paraId="70AF8727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18E0D24A" w14:textId="3193B18C" w:rsidR="00F01B3D" w:rsidRPr="00F01B3D" w:rsidRDefault="00F01B3D" w:rsidP="00F01B3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СОӨЖ-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</w:t>
            </w:r>
            <w:r w:rsidRPr="00F01B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01B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ar-SA"/>
              </w:rPr>
              <w:t>Өндіргіш күштердің  аумақтық ұтымды ұйымдастырудың  экономикалық тиімділігі</w:t>
            </w:r>
          </w:p>
          <w:p w14:paraId="03F022C0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2E71C644" w14:textId="77777777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5DCFE01D" w14:textId="002AFD82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 202</w:t>
            </w:r>
            <w:r w:rsidR="006F2BF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0AD5A855" w14:textId="0A69B700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19-25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қыркүйек</w:t>
            </w:r>
          </w:p>
          <w:p w14:paraId="41A778A8" w14:textId="5C2DDD78" w:rsidR="00F01B3D" w:rsidRPr="00F01B3D" w:rsidRDefault="00F01B3D" w:rsidP="00F01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6F2BF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</w:tbl>
    <w:p w14:paraId="4027B7F1" w14:textId="77777777" w:rsidR="00F01B3D" w:rsidRDefault="00F01B3D" w:rsidP="00156E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A6BFCE9" w14:textId="77777777" w:rsidR="00F01B3D" w:rsidRDefault="00F01B3D" w:rsidP="00156E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20399C2" w14:textId="66963D5E" w:rsidR="00156E46" w:rsidRDefault="006F2BFD" w:rsidP="00156E4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156E46">
        <w:rPr>
          <w:rFonts w:ascii="Times New Roman" w:hAnsi="Times New Roman" w:cs="Times New Roman"/>
          <w:sz w:val="28"/>
          <w:szCs w:val="28"/>
          <w:lang w:val="kk-KZ"/>
        </w:rPr>
        <w:t>ЕГІЗГІ   ӘДЕБИЕТТЕР</w:t>
      </w:r>
    </w:p>
    <w:p w14:paraId="1F2E7002" w14:textId="77777777" w:rsidR="00156E46" w:rsidRDefault="00156E46" w:rsidP="00156E4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2CBD2893" w14:textId="77777777" w:rsidR="006F2BFD" w:rsidRPr="00777231" w:rsidRDefault="006F2BFD" w:rsidP="006F2BF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0" w:name="_Hlk146370480"/>
      <w:r w:rsidRPr="00777231">
        <w:rPr>
          <w:rFonts w:ascii="Times New Roman" w:hAnsi="Times New Roman" w:cs="Times New Roman"/>
          <w:sz w:val="20"/>
          <w:szCs w:val="20"/>
          <w:lang w:val="kk-KZ"/>
        </w:rPr>
        <w:t>Негізгі әдебиеттер</w:t>
      </w:r>
      <w:r w:rsidRPr="00777231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6FCA58AE" w14:textId="77777777" w:rsidR="006F2BFD" w:rsidRPr="006B7A98" w:rsidRDefault="006F2BFD" w:rsidP="006F2BF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 w:rsidRPr="006B7A9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40B8FDC7" w14:textId="77777777" w:rsidR="006F2BFD" w:rsidRPr="006B7A98" w:rsidRDefault="006F2BFD" w:rsidP="006F2BFD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6B7A9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13EC8ACB" w14:textId="77777777" w:rsidR="006F2BFD" w:rsidRPr="006B7A98" w:rsidRDefault="006F2BFD" w:rsidP="006F2BFD">
      <w:pPr>
        <w:pStyle w:val="ab"/>
        <w:numPr>
          <w:ilvl w:val="0"/>
          <w:numId w:val="2"/>
        </w:numPr>
        <w:tabs>
          <w:tab w:val="left" w:pos="39"/>
        </w:tabs>
        <w:spacing w:after="0" w:line="240" w:lineRule="auto"/>
        <w:ind w:left="59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4955CDE" w14:textId="77777777" w:rsidR="006F2BFD" w:rsidRPr="006B7A98" w:rsidRDefault="006F2BFD" w:rsidP="006F2BFD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6B7A9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2118A9A9" w14:textId="77777777" w:rsidR="006F2BFD" w:rsidRPr="00777231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Style w:val="af5"/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5" w:tgtFrame="_blank" w:history="1">
        <w:r w:rsidRPr="002729BC">
          <w:rPr>
            <w:rStyle w:val="af5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https://urait.ru/bcode/535867</w:t>
        </w:r>
      </w:hyperlink>
    </w:p>
    <w:p w14:paraId="4A31795B" w14:textId="77777777" w:rsidR="006F2BFD" w:rsidRPr="00777231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Style w:val="af5"/>
          <w:rFonts w:ascii="Times New Roman" w:hAnsi="Times New Roman" w:cs="Times New Roman"/>
          <w:color w:val="000000" w:themeColor="text1"/>
          <w:sz w:val="20"/>
          <w:szCs w:val="20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67098467" w14:textId="77777777" w:rsidR="006F2BFD" w:rsidRPr="00C215C7" w:rsidRDefault="006F2BFD" w:rsidP="006F2BFD">
      <w:pPr>
        <w:numPr>
          <w:ilvl w:val="0"/>
          <w:numId w:val="2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73295648" w14:textId="77777777" w:rsidR="006F2BFD" w:rsidRPr="00C5035B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13DFF375" w14:textId="77777777" w:rsidR="006F2BFD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118B872E" w14:textId="77777777" w:rsidR="006F2BFD" w:rsidRPr="00C5035B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hanging="5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5035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30CDA19D" w14:textId="77777777" w:rsidR="006F2BFD" w:rsidRPr="002729BC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5BBDDCD3" w14:textId="77777777" w:rsidR="006F2BFD" w:rsidRPr="002729BC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1DCD6DDC" w14:textId="77777777" w:rsidR="006F2BFD" w:rsidRPr="002729BC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6CFC5747" w14:textId="77777777" w:rsidR="006F2BFD" w:rsidRPr="002729BC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27AD2E23" w14:textId="77777777" w:rsidR="006F2BFD" w:rsidRPr="002729BC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Лиманова Л.Э.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39CFCB8F" w14:textId="77777777" w:rsidR="006F2BFD" w:rsidRPr="002729BC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 w:rsidRPr="002729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73C0F46E" w14:textId="77777777" w:rsidR="006F2BFD" w:rsidRPr="002729BC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Гасиев  В.И., Георгиев И.Э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4C6E04BD" w14:textId="77777777" w:rsidR="006F2BFD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33B8AC57" w14:textId="77777777" w:rsidR="006F2BFD" w:rsidRDefault="006F2BFD" w:rsidP="006F2BFD">
      <w:pPr>
        <w:numPr>
          <w:ilvl w:val="0"/>
          <w:numId w:val="2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4EB84BBD" w14:textId="77777777" w:rsidR="006F2BFD" w:rsidRPr="00C215C7" w:rsidRDefault="006F2BFD" w:rsidP="006F2BFD">
      <w:pPr>
        <w:numPr>
          <w:ilvl w:val="0"/>
          <w:numId w:val="2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215C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0F3E6C1A" w14:textId="77777777" w:rsidR="006F2BFD" w:rsidRPr="002729BC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68C5DE23" w14:textId="77777777" w:rsidR="006F2BFD" w:rsidRPr="002729BC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6" w:tgtFrame="_blank" w:history="1">
        <w:r w:rsidRPr="002729BC">
          <w:rPr>
            <w:rStyle w:val="af5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https://urait.ru/bcode/536865</w:t>
        </w:r>
      </w:hyperlink>
      <w:r w:rsidRPr="002729B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09E7C381" w14:textId="77777777" w:rsidR="006F2BFD" w:rsidRPr="00777231" w:rsidRDefault="006F2BFD" w:rsidP="006F2BFD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59" w:firstLine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7" w:tgtFrame="_blank" w:history="1">
        <w:r w:rsidRPr="006B7A98">
          <w:rPr>
            <w:rStyle w:val="af5"/>
            <w:rFonts w:ascii="Times New Roman" w:hAnsi="Times New Roman" w:cs="Times New Roman"/>
            <w:color w:val="000000" w:themeColor="text1"/>
            <w:sz w:val="20"/>
            <w:szCs w:val="20"/>
          </w:rPr>
          <w:t>https://urait.ru/bcode/544646</w:t>
        </w:r>
      </w:hyperlink>
      <w:r w:rsidRPr="006B7A9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1B43D6BA" w14:textId="77777777" w:rsidR="006F2BFD" w:rsidRDefault="006F2BFD" w:rsidP="006F2B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14914D27" w14:textId="77777777" w:rsidR="006F2BFD" w:rsidRPr="00DE3C22" w:rsidRDefault="006F2BFD" w:rsidP="006F2B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DE3C2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254991C2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 xml:space="preserve">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26988FC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 xml:space="preserve">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5B8E64A" w14:textId="77777777" w:rsidR="006F2BFD" w:rsidRPr="00DE3C22" w:rsidRDefault="006F2BFD" w:rsidP="006F2BFD">
      <w:pPr>
        <w:pStyle w:val="ab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1678E4E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 xml:space="preserve">. Президенттік жастар кадр резерві туралы//ҚР Президентінің 2021 жылғы 18 мамырдағы №580 Жарлығы </w:t>
      </w:r>
    </w:p>
    <w:p w14:paraId="0CCB360F" w14:textId="77777777" w:rsidR="006F2BFD" w:rsidRPr="00DE3C22" w:rsidRDefault="006F2BFD" w:rsidP="006F2BFD">
      <w:pPr>
        <w:pStyle w:val="ab"/>
        <w:spacing w:after="0" w:line="240" w:lineRule="auto"/>
        <w:ind w:left="1" w:hanging="1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>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AE58A41" w14:textId="77777777" w:rsidR="006F2BFD" w:rsidRPr="00DE3C22" w:rsidRDefault="006F2BFD" w:rsidP="006F2BFD">
      <w:pPr>
        <w:pStyle w:val="ab"/>
        <w:spacing w:after="0" w:line="240" w:lineRule="auto"/>
        <w:ind w:left="1" w:hanging="1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45168752"/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>. Оксфорд  экономика сөздігі  = A Dictionary of Economics (Oxford Quick Reference) : сөздік  -Алматы : "Ұлттық аударма бюросы" ҚҚ, 2019 - 606 б.</w:t>
      </w:r>
    </w:p>
    <w:p w14:paraId="02F5D149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>. Ник. HR-менеджментке кіріспе = An Introduction to Human Resource Management - Алматы: "Ұлттық аударма бюросы" ҚҚ, 2019. — 531 б.</w:t>
      </w:r>
    </w:p>
    <w:p w14:paraId="2B6A7FC3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>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FB4360F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 xml:space="preserve">. Стивен П. Роббинс, Тимати А. Джадж </w:t>
      </w:r>
    </w:p>
    <w:p w14:paraId="2F8A9C3E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E3C22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398B23D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E3C22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>. Р. У. Гриффин Менеджмент = Management  - Астана: "Ұлттық аударма бюросы" ҚҚ, 2018 - 766 б.</w:t>
      </w:r>
    </w:p>
    <w:p w14:paraId="43FAC572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E3C22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>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67586DA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>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5C303E7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E3C22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>. О’Лири, Зина. Зерттеу жобасын жүргізу: негізгі нұсқаулық : монография - Алматы: "Ұлттық аударма бюросы" ҚҚ, 2020 - 470 б.</w:t>
      </w:r>
    </w:p>
    <w:p w14:paraId="0579A34B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E3C22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DE3C22">
        <w:rPr>
          <w:rFonts w:ascii="Times New Roman" w:hAnsi="Times New Roman" w:cs="Times New Roman"/>
          <w:sz w:val="20"/>
          <w:szCs w:val="20"/>
          <w:lang w:val="kk-KZ"/>
        </w:rPr>
        <w:t>. Шваб, Клаус.Төртінші индустриялық революция  = The Fourth Industrial Revolution : [монография] - Астана: "Ұлттық аударма бюросы" ҚҚ, 2018- 198 б.</w:t>
      </w:r>
    </w:p>
    <w:p w14:paraId="267A16B7" w14:textId="77777777" w:rsidR="006F2BFD" w:rsidRPr="00DE3C22" w:rsidRDefault="006F2BFD" w:rsidP="006F2B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34C6333D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DE3C2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2A86CF3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E3C22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5</w:t>
      </w:r>
    </w:p>
    <w:p w14:paraId="02686C31" w14:textId="77777777" w:rsidR="006F2BFD" w:rsidRPr="00DE3C22" w:rsidRDefault="006F2BFD" w:rsidP="006F2BF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DE3C22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bookmarkEnd w:id="1"/>
    <w:p w14:paraId="7B0B32F8" w14:textId="77777777" w:rsidR="006F2BFD" w:rsidRPr="00DE3C22" w:rsidRDefault="006F2BFD" w:rsidP="006F2B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77AF4383" w14:textId="77777777" w:rsidR="006F2BFD" w:rsidRPr="00DE3C22" w:rsidRDefault="006F2BFD" w:rsidP="006F2B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DE3C22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Интернет-ресурстар </w:t>
      </w:r>
    </w:p>
    <w:p w14:paraId="19BDED42" w14:textId="77777777" w:rsidR="006F2BFD" w:rsidRPr="006B7A98" w:rsidRDefault="006F2BFD" w:rsidP="006F2BFD">
      <w:pPr>
        <w:pStyle w:val="ab"/>
        <w:spacing w:after="200" w:line="276" w:lineRule="auto"/>
        <w:ind w:left="765"/>
        <w:rPr>
          <w:rFonts w:ascii="Times New Roman" w:hAnsi="Times New Roman" w:cs="Times New Roman"/>
          <w:color w:val="486C97"/>
          <w:sz w:val="20"/>
          <w:szCs w:val="20"/>
          <w:u w:val="single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 w:rsidRPr="006B7A9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8" w:tgtFrame="_blank" w:history="1">
        <w:r w:rsidRPr="006B7A98">
          <w:rPr>
            <w:rStyle w:val="af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</w:p>
    <w:p w14:paraId="2643A969" w14:textId="77777777" w:rsidR="006F2BFD" w:rsidRPr="00C5035B" w:rsidRDefault="006F2BFD" w:rsidP="006F2BFD">
      <w:pPr>
        <w:pStyle w:val="ab"/>
        <w:tabs>
          <w:tab w:val="left" w:pos="0"/>
        </w:tabs>
        <w:spacing w:after="0" w:line="240" w:lineRule="auto"/>
        <w:ind w:left="765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hyperlink r:id="rId9" w:history="1">
        <w:r w:rsidRPr="006F19B7">
          <w:rPr>
            <w:rStyle w:val="af5"/>
            <w:rFonts w:ascii="Times New Roman" w:hAnsi="Times New Roman" w:cs="Times New Roman"/>
            <w:sz w:val="20"/>
            <w:szCs w:val="20"/>
          </w:rPr>
          <w:t>https://urait.ru/bcode/544646</w:t>
        </w:r>
      </w:hyperlink>
      <w:r w:rsidRPr="00C5035B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bookmarkEnd w:id="0"/>
    <w:p w14:paraId="2056CD71" w14:textId="77777777" w:rsidR="00225967" w:rsidRDefault="00225967" w:rsidP="00156E46">
      <w:pPr>
        <w:pStyle w:val="ab"/>
        <w:numPr>
          <w:ilvl w:val="0"/>
          <w:numId w:val="1"/>
        </w:numPr>
        <w:spacing w:line="254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14:paraId="061BD5B3" w14:textId="77777777" w:rsidR="00F12C76" w:rsidRPr="00A60EAD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A60E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927496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9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D1"/>
    <w:rsid w:val="00156E46"/>
    <w:rsid w:val="00225967"/>
    <w:rsid w:val="00636E56"/>
    <w:rsid w:val="006C0B77"/>
    <w:rsid w:val="006F1C33"/>
    <w:rsid w:val="006F2BFD"/>
    <w:rsid w:val="008242FF"/>
    <w:rsid w:val="00870751"/>
    <w:rsid w:val="00922C48"/>
    <w:rsid w:val="00A60EAD"/>
    <w:rsid w:val="00A77877"/>
    <w:rsid w:val="00B915B7"/>
    <w:rsid w:val="00E017D1"/>
    <w:rsid w:val="00EA59DF"/>
    <w:rsid w:val="00EE4070"/>
    <w:rsid w:val="00F01B3D"/>
    <w:rsid w:val="00F12C76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C328"/>
  <w15:chartTrackingRefBased/>
  <w15:docId w15:val="{A6C0A9E6-B93E-4EA0-9DB3-BF95D17E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EAD"/>
    <w:pPr>
      <w:spacing w:after="160"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unhideWhenUsed/>
    <w:rsid w:val="00156E46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156E46"/>
  </w:style>
  <w:style w:type="table" w:styleId="af6">
    <w:name w:val="Table Grid"/>
    <w:basedOn w:val="a1"/>
    <w:uiPriority w:val="39"/>
    <w:rsid w:val="00F01B3D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8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58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4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9</cp:revision>
  <dcterms:created xsi:type="dcterms:W3CDTF">2022-06-24T08:06:00Z</dcterms:created>
  <dcterms:modified xsi:type="dcterms:W3CDTF">2024-09-06T10:14:00Z</dcterms:modified>
</cp:coreProperties>
</file>